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AAD5F" w14:textId="65F7E469" w:rsidR="002E22C3" w:rsidRDefault="00957A0A" w:rsidP="00957A0A">
      <w:pPr>
        <w:pStyle w:val="Heading1"/>
      </w:pPr>
      <w:r>
        <w:t>COMMUNITY OUTREACH</w:t>
      </w:r>
    </w:p>
    <w:p w14:paraId="635DA68F" w14:textId="77777777" w:rsidR="00957A0A" w:rsidRDefault="00957A0A"/>
    <w:p w14:paraId="5E7117E6" w14:textId="77777777" w:rsidR="00957A0A" w:rsidRPr="00957A0A" w:rsidRDefault="00957A0A" w:rsidP="00957A0A">
      <w:r w:rsidRPr="00957A0A">
        <w:t> </w:t>
      </w:r>
    </w:p>
    <w:p w14:paraId="099D3B1E" w14:textId="77777777" w:rsidR="00957A0A" w:rsidRPr="00957A0A" w:rsidRDefault="00957A0A" w:rsidP="00957A0A">
      <w:pPr>
        <w:rPr>
          <w:sz w:val="28"/>
          <w:szCs w:val="28"/>
        </w:rPr>
      </w:pPr>
      <w:r w:rsidRPr="00957A0A">
        <w:rPr>
          <w:sz w:val="28"/>
          <w:szCs w:val="28"/>
        </w:rPr>
        <w:t> The approach to community outreach at a model church, as described in the context, involves several key elements:</w:t>
      </w:r>
    </w:p>
    <w:p w14:paraId="50CEA012" w14:textId="77777777" w:rsidR="00957A0A" w:rsidRPr="00957A0A" w:rsidRDefault="00957A0A" w:rsidP="00957A0A">
      <w:pPr>
        <w:rPr>
          <w:sz w:val="28"/>
          <w:szCs w:val="28"/>
        </w:rPr>
      </w:pPr>
    </w:p>
    <w:p w14:paraId="6FF191A3" w14:textId="77777777" w:rsidR="00957A0A" w:rsidRPr="00957A0A" w:rsidRDefault="00957A0A" w:rsidP="00957A0A">
      <w:pPr>
        <w:numPr>
          <w:ilvl w:val="0"/>
          <w:numId w:val="1"/>
        </w:numPr>
        <w:rPr>
          <w:sz w:val="28"/>
          <w:szCs w:val="28"/>
        </w:rPr>
      </w:pPr>
      <w:r w:rsidRPr="00957A0A">
        <w:rPr>
          <w:b/>
          <w:bCs/>
          <w:sz w:val="28"/>
          <w:szCs w:val="28"/>
        </w:rPr>
        <w:t>Renewal of Worship</w:t>
      </w:r>
      <w:r w:rsidRPr="00957A0A">
        <w:rPr>
          <w:sz w:val="28"/>
          <w:szCs w:val="28"/>
        </w:rPr>
        <w:t>: The church should not only focus on internal worship but also extend this to the surrounding community. This could involve providing classes in Christian spiritual disciplines at a local community center or facilitating a Christian environmental retreat.</w:t>
      </w:r>
    </w:p>
    <w:p w14:paraId="0BE274A4" w14:textId="77777777" w:rsidR="00957A0A" w:rsidRPr="00957A0A" w:rsidRDefault="00957A0A" w:rsidP="00957A0A">
      <w:pPr>
        <w:ind w:left="720"/>
        <w:rPr>
          <w:sz w:val="28"/>
          <w:szCs w:val="28"/>
        </w:rPr>
      </w:pPr>
    </w:p>
    <w:p w14:paraId="216D0CB5" w14:textId="3C96D274" w:rsidR="00957A0A" w:rsidRPr="00957A0A" w:rsidRDefault="00957A0A" w:rsidP="00957A0A">
      <w:pPr>
        <w:numPr>
          <w:ilvl w:val="0"/>
          <w:numId w:val="1"/>
        </w:numPr>
        <w:rPr>
          <w:sz w:val="28"/>
          <w:szCs w:val="28"/>
        </w:rPr>
      </w:pPr>
      <w:r w:rsidRPr="00957A0A">
        <w:rPr>
          <w:b/>
          <w:bCs/>
          <w:sz w:val="28"/>
          <w:szCs w:val="28"/>
        </w:rPr>
        <w:t>Involvement of the Local Community</w:t>
      </w:r>
      <w:r w:rsidRPr="00957A0A">
        <w:rPr>
          <w:sz w:val="28"/>
          <w:szCs w:val="28"/>
        </w:rPr>
        <w:t>: The church should find ways to involve the local community in their worship experiences. This could be through annual events like singing Handel’s Messiah or a Christmas pageant during Advent</w:t>
      </w:r>
      <w:r w:rsidRPr="00957A0A">
        <w:rPr>
          <w:sz w:val="28"/>
          <w:szCs w:val="28"/>
        </w:rPr>
        <w:t>.</w:t>
      </w:r>
    </w:p>
    <w:p w14:paraId="07D41744" w14:textId="77777777" w:rsidR="00957A0A" w:rsidRPr="00957A0A" w:rsidRDefault="00957A0A" w:rsidP="00957A0A">
      <w:pPr>
        <w:pStyle w:val="ListParagraph"/>
        <w:rPr>
          <w:sz w:val="28"/>
          <w:szCs w:val="28"/>
        </w:rPr>
      </w:pPr>
    </w:p>
    <w:p w14:paraId="0B424169" w14:textId="77777777" w:rsidR="00957A0A" w:rsidRPr="00957A0A" w:rsidRDefault="00957A0A" w:rsidP="00957A0A">
      <w:pPr>
        <w:ind w:left="720"/>
        <w:rPr>
          <w:sz w:val="28"/>
          <w:szCs w:val="28"/>
        </w:rPr>
      </w:pPr>
    </w:p>
    <w:p w14:paraId="6F8D4435" w14:textId="77777777" w:rsidR="00957A0A" w:rsidRPr="00957A0A" w:rsidRDefault="00957A0A" w:rsidP="00957A0A">
      <w:pPr>
        <w:numPr>
          <w:ilvl w:val="0"/>
          <w:numId w:val="1"/>
        </w:numPr>
        <w:rPr>
          <w:sz w:val="28"/>
          <w:szCs w:val="28"/>
        </w:rPr>
      </w:pPr>
      <w:r w:rsidRPr="00957A0A">
        <w:rPr>
          <w:b/>
          <w:bCs/>
          <w:sz w:val="28"/>
          <w:szCs w:val="28"/>
        </w:rPr>
        <w:t>Evangelism through Community</w:t>
      </w:r>
      <w:r w:rsidRPr="00957A0A">
        <w:rPr>
          <w:sz w:val="28"/>
          <w:szCs w:val="28"/>
        </w:rPr>
        <w:t>: The church should capitalize on the power of the witness of the gathered community of faith on unbelievers. This involves inviting unbelievers to come and experience God through the church's experience of God’s grace.</w:t>
      </w:r>
    </w:p>
    <w:p w14:paraId="3B0CD156" w14:textId="77777777" w:rsidR="00957A0A" w:rsidRPr="00957A0A" w:rsidRDefault="00957A0A" w:rsidP="00957A0A">
      <w:pPr>
        <w:ind w:left="720"/>
        <w:rPr>
          <w:sz w:val="28"/>
          <w:szCs w:val="28"/>
        </w:rPr>
      </w:pPr>
    </w:p>
    <w:p w14:paraId="197E97E6" w14:textId="77777777" w:rsidR="00957A0A" w:rsidRPr="00957A0A" w:rsidRDefault="00957A0A" w:rsidP="00957A0A">
      <w:pPr>
        <w:numPr>
          <w:ilvl w:val="0"/>
          <w:numId w:val="1"/>
        </w:numPr>
        <w:rPr>
          <w:sz w:val="28"/>
          <w:szCs w:val="28"/>
        </w:rPr>
      </w:pPr>
      <w:r w:rsidRPr="00957A0A">
        <w:rPr>
          <w:b/>
          <w:bCs/>
          <w:sz w:val="28"/>
          <w:szCs w:val="28"/>
        </w:rPr>
        <w:t>Creation of a Vibrant Holy Community</w:t>
      </w:r>
      <w:r w:rsidRPr="00957A0A">
        <w:rPr>
          <w:sz w:val="28"/>
          <w:szCs w:val="28"/>
        </w:rPr>
        <w:t>: The church should aim to create a vibrant holy community into which others are invited. This involves encouraging, empowering, and enabling God’s people to live faithfully within their surrounding community in word and deed.</w:t>
      </w:r>
    </w:p>
    <w:p w14:paraId="109646E6" w14:textId="77777777" w:rsidR="00957A0A" w:rsidRPr="00957A0A" w:rsidRDefault="00957A0A" w:rsidP="00957A0A">
      <w:pPr>
        <w:pStyle w:val="ListParagraph"/>
        <w:rPr>
          <w:sz w:val="28"/>
          <w:szCs w:val="28"/>
        </w:rPr>
      </w:pPr>
    </w:p>
    <w:p w14:paraId="086472D7" w14:textId="77777777" w:rsidR="00957A0A" w:rsidRPr="00957A0A" w:rsidRDefault="00957A0A" w:rsidP="00957A0A">
      <w:pPr>
        <w:ind w:left="720"/>
        <w:rPr>
          <w:sz w:val="28"/>
          <w:szCs w:val="28"/>
        </w:rPr>
      </w:pPr>
    </w:p>
    <w:p w14:paraId="289602BC" w14:textId="77777777" w:rsidR="00957A0A" w:rsidRPr="00957A0A" w:rsidRDefault="00957A0A" w:rsidP="00957A0A">
      <w:pPr>
        <w:numPr>
          <w:ilvl w:val="0"/>
          <w:numId w:val="1"/>
        </w:numPr>
        <w:rPr>
          <w:sz w:val="28"/>
          <w:szCs w:val="28"/>
        </w:rPr>
      </w:pPr>
      <w:r w:rsidRPr="00957A0A">
        <w:rPr>
          <w:b/>
          <w:bCs/>
          <w:sz w:val="28"/>
          <w:szCs w:val="28"/>
        </w:rPr>
        <w:t>Avoiding Exclusion</w:t>
      </w:r>
      <w:r w:rsidRPr="00957A0A">
        <w:rPr>
          <w:sz w:val="28"/>
          <w:szCs w:val="28"/>
        </w:rPr>
        <w:t>: The church should avoid focusing attention on one target group at the exclusion of others. Instead, it should be open to the unexpected people that God brings into the church community.</w:t>
      </w:r>
    </w:p>
    <w:p w14:paraId="2E4EAD4B" w14:textId="77777777" w:rsidR="00957A0A" w:rsidRPr="00957A0A" w:rsidRDefault="00957A0A" w:rsidP="00957A0A">
      <w:pPr>
        <w:ind w:left="720"/>
        <w:rPr>
          <w:sz w:val="28"/>
          <w:szCs w:val="28"/>
        </w:rPr>
      </w:pPr>
    </w:p>
    <w:p w14:paraId="1DF3B845" w14:textId="77777777" w:rsidR="00957A0A" w:rsidRPr="00957A0A" w:rsidRDefault="00957A0A" w:rsidP="00957A0A">
      <w:pPr>
        <w:numPr>
          <w:ilvl w:val="0"/>
          <w:numId w:val="1"/>
        </w:numPr>
        <w:rPr>
          <w:sz w:val="28"/>
          <w:szCs w:val="28"/>
        </w:rPr>
      </w:pPr>
      <w:r w:rsidRPr="00957A0A">
        <w:rPr>
          <w:b/>
          <w:bCs/>
          <w:sz w:val="28"/>
          <w:szCs w:val="28"/>
        </w:rPr>
        <w:t>Balancing Holiness and Mission</w:t>
      </w:r>
      <w:r w:rsidRPr="00957A0A">
        <w:rPr>
          <w:sz w:val="28"/>
          <w:szCs w:val="28"/>
        </w:rPr>
        <w:t>: The church should balance the aspects of holiness and mission. This involves not only focusing on the two aspects in isolation but also seeing the intimate connection between them.</w:t>
      </w:r>
    </w:p>
    <w:p w14:paraId="1FA3CC2D" w14:textId="77777777" w:rsidR="00957A0A" w:rsidRPr="00957A0A" w:rsidRDefault="00957A0A" w:rsidP="00957A0A">
      <w:pPr>
        <w:pStyle w:val="ListParagraph"/>
        <w:rPr>
          <w:sz w:val="28"/>
          <w:szCs w:val="28"/>
        </w:rPr>
      </w:pPr>
    </w:p>
    <w:p w14:paraId="097D1BE5" w14:textId="77777777" w:rsidR="00957A0A" w:rsidRPr="00957A0A" w:rsidRDefault="00957A0A" w:rsidP="00957A0A">
      <w:pPr>
        <w:ind w:left="720"/>
        <w:rPr>
          <w:sz w:val="28"/>
          <w:szCs w:val="28"/>
        </w:rPr>
      </w:pPr>
    </w:p>
    <w:p w14:paraId="29F0FDF8" w14:textId="77777777" w:rsidR="00957A0A" w:rsidRPr="00957A0A" w:rsidRDefault="00957A0A" w:rsidP="00957A0A">
      <w:pPr>
        <w:rPr>
          <w:sz w:val="28"/>
          <w:szCs w:val="28"/>
        </w:rPr>
      </w:pPr>
      <w:r w:rsidRPr="00957A0A">
        <w:rPr>
          <w:sz w:val="28"/>
          <w:szCs w:val="28"/>
        </w:rPr>
        <w:t>In summary, a model church's approach to community outreach involves extending worship to the community, involving the local community in worship experiences, evangelizing through community, creating a vibrant holy community, avoiding exclusion, and balancing holiness and mission.</w:t>
      </w:r>
    </w:p>
    <w:p w14:paraId="130F8C16" w14:textId="1D4BD0D6" w:rsidR="00957A0A" w:rsidRPr="00957A0A" w:rsidRDefault="00957A0A">
      <w:pPr>
        <w:rPr>
          <w:sz w:val="28"/>
          <w:szCs w:val="28"/>
        </w:rPr>
      </w:pPr>
    </w:p>
    <w:sectPr w:rsidR="00957A0A" w:rsidRPr="00957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84619"/>
    <w:multiLevelType w:val="multilevel"/>
    <w:tmpl w:val="F9A6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259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0A"/>
    <w:rsid w:val="000A4E92"/>
    <w:rsid w:val="002E22C3"/>
    <w:rsid w:val="0040404C"/>
    <w:rsid w:val="00667B4D"/>
    <w:rsid w:val="006E1A4B"/>
    <w:rsid w:val="008661D6"/>
    <w:rsid w:val="00957A0A"/>
    <w:rsid w:val="00A6655D"/>
    <w:rsid w:val="00E637E4"/>
    <w:rsid w:val="00F0062D"/>
    <w:rsid w:val="00F8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788629"/>
  <w15:chartTrackingRefBased/>
  <w15:docId w15:val="{2D06EAD2-5414-3A46-B070-C40AA9B7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A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A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A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A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A0A"/>
    <w:rPr>
      <w:rFonts w:eastAsiaTheme="majorEastAsia" w:cstheme="majorBidi"/>
      <w:color w:val="272727" w:themeColor="text1" w:themeTint="D8"/>
    </w:rPr>
  </w:style>
  <w:style w:type="paragraph" w:styleId="Title">
    <w:name w:val="Title"/>
    <w:basedOn w:val="Normal"/>
    <w:next w:val="Normal"/>
    <w:link w:val="TitleChar"/>
    <w:uiPriority w:val="10"/>
    <w:qFormat/>
    <w:rsid w:val="00957A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A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A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7A0A"/>
    <w:rPr>
      <w:i/>
      <w:iCs/>
      <w:color w:val="404040" w:themeColor="text1" w:themeTint="BF"/>
    </w:rPr>
  </w:style>
  <w:style w:type="paragraph" w:styleId="ListParagraph">
    <w:name w:val="List Paragraph"/>
    <w:basedOn w:val="Normal"/>
    <w:uiPriority w:val="34"/>
    <w:qFormat/>
    <w:rsid w:val="00957A0A"/>
    <w:pPr>
      <w:ind w:left="720"/>
      <w:contextualSpacing/>
    </w:pPr>
  </w:style>
  <w:style w:type="character" w:styleId="IntenseEmphasis">
    <w:name w:val="Intense Emphasis"/>
    <w:basedOn w:val="DefaultParagraphFont"/>
    <w:uiPriority w:val="21"/>
    <w:qFormat/>
    <w:rsid w:val="00957A0A"/>
    <w:rPr>
      <w:i/>
      <w:iCs/>
      <w:color w:val="0F4761" w:themeColor="accent1" w:themeShade="BF"/>
    </w:rPr>
  </w:style>
  <w:style w:type="paragraph" w:styleId="IntenseQuote">
    <w:name w:val="Intense Quote"/>
    <w:basedOn w:val="Normal"/>
    <w:next w:val="Normal"/>
    <w:link w:val="IntenseQuoteChar"/>
    <w:uiPriority w:val="30"/>
    <w:qFormat/>
    <w:rsid w:val="00957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A0A"/>
    <w:rPr>
      <w:i/>
      <w:iCs/>
      <w:color w:val="0F4761" w:themeColor="accent1" w:themeShade="BF"/>
    </w:rPr>
  </w:style>
  <w:style w:type="character" w:styleId="IntenseReference">
    <w:name w:val="Intense Reference"/>
    <w:basedOn w:val="DefaultParagraphFont"/>
    <w:uiPriority w:val="32"/>
    <w:qFormat/>
    <w:rsid w:val="00957A0A"/>
    <w:rPr>
      <w:b/>
      <w:bCs/>
      <w:smallCaps/>
      <w:color w:val="0F4761" w:themeColor="accent1" w:themeShade="BF"/>
      <w:spacing w:val="5"/>
    </w:rPr>
  </w:style>
  <w:style w:type="paragraph" w:styleId="NormalWeb">
    <w:name w:val="Normal (Web)"/>
    <w:basedOn w:val="Normal"/>
    <w:uiPriority w:val="99"/>
    <w:semiHidden/>
    <w:unhideWhenUsed/>
    <w:rsid w:val="00957A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4958">
      <w:bodyDiv w:val="1"/>
      <w:marLeft w:val="0"/>
      <w:marRight w:val="0"/>
      <w:marTop w:val="0"/>
      <w:marBottom w:val="0"/>
      <w:divBdr>
        <w:top w:val="none" w:sz="0" w:space="0" w:color="auto"/>
        <w:left w:val="none" w:sz="0" w:space="0" w:color="auto"/>
        <w:bottom w:val="none" w:sz="0" w:space="0" w:color="auto"/>
        <w:right w:val="none" w:sz="0" w:space="0" w:color="auto"/>
      </w:divBdr>
    </w:div>
    <w:div w:id="588585912">
      <w:bodyDiv w:val="1"/>
      <w:marLeft w:val="0"/>
      <w:marRight w:val="0"/>
      <w:marTop w:val="0"/>
      <w:marBottom w:val="0"/>
      <w:divBdr>
        <w:top w:val="none" w:sz="0" w:space="0" w:color="auto"/>
        <w:left w:val="none" w:sz="0" w:space="0" w:color="auto"/>
        <w:bottom w:val="none" w:sz="0" w:space="0" w:color="auto"/>
        <w:right w:val="none" w:sz="0" w:space="0" w:color="auto"/>
      </w:divBdr>
    </w:div>
    <w:div w:id="850486959">
      <w:bodyDiv w:val="1"/>
      <w:marLeft w:val="0"/>
      <w:marRight w:val="0"/>
      <w:marTop w:val="0"/>
      <w:marBottom w:val="0"/>
      <w:divBdr>
        <w:top w:val="none" w:sz="0" w:space="0" w:color="auto"/>
        <w:left w:val="none" w:sz="0" w:space="0" w:color="auto"/>
        <w:bottom w:val="none" w:sz="0" w:space="0" w:color="auto"/>
        <w:right w:val="none" w:sz="0" w:space="0" w:color="auto"/>
      </w:divBdr>
    </w:div>
    <w:div w:id="1859387494">
      <w:bodyDiv w:val="1"/>
      <w:marLeft w:val="0"/>
      <w:marRight w:val="0"/>
      <w:marTop w:val="0"/>
      <w:marBottom w:val="0"/>
      <w:divBdr>
        <w:top w:val="none" w:sz="0" w:space="0" w:color="auto"/>
        <w:left w:val="none" w:sz="0" w:space="0" w:color="auto"/>
        <w:bottom w:val="none" w:sz="0" w:space="0" w:color="auto"/>
        <w:right w:val="none" w:sz="0" w:space="0" w:color="auto"/>
      </w:divBdr>
    </w:div>
    <w:div w:id="2015303451">
      <w:bodyDiv w:val="1"/>
      <w:marLeft w:val="0"/>
      <w:marRight w:val="0"/>
      <w:marTop w:val="0"/>
      <w:marBottom w:val="0"/>
      <w:divBdr>
        <w:top w:val="none" w:sz="0" w:space="0" w:color="auto"/>
        <w:left w:val="none" w:sz="0" w:space="0" w:color="auto"/>
        <w:bottom w:val="none" w:sz="0" w:space="0" w:color="auto"/>
        <w:right w:val="none" w:sz="0" w:space="0" w:color="auto"/>
      </w:divBdr>
    </w:div>
    <w:div w:id="20182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1F02-C123-1544-B7A1-16CE72B7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Panao</dc:creator>
  <cp:keywords/>
  <dc:description/>
  <cp:lastModifiedBy>Paul Panao</cp:lastModifiedBy>
  <cp:revision>2</cp:revision>
  <cp:lastPrinted>2024-12-19T18:13:00Z</cp:lastPrinted>
  <dcterms:created xsi:type="dcterms:W3CDTF">2024-12-19T18:21:00Z</dcterms:created>
  <dcterms:modified xsi:type="dcterms:W3CDTF">2024-12-19T18:21:00Z</dcterms:modified>
</cp:coreProperties>
</file>